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810E0" w:rsidRDefault="00F810E0">
      <w:pPr>
        <w:keepNext/>
        <w:pBdr>
          <w:top w:val="nil"/>
          <w:left w:val="nil"/>
          <w:bottom w:val="nil"/>
          <w:right w:val="nil"/>
          <w:between w:val="nil"/>
        </w:pBdr>
        <w:ind w:left="0"/>
        <w:jc w:val="left"/>
        <w:rPr>
          <w:b/>
          <w:color w:val="000000"/>
          <w:sz w:val="32"/>
          <w:szCs w:val="32"/>
        </w:rPr>
      </w:pPr>
    </w:p>
    <w:p w14:paraId="00000002" w14:textId="77777777" w:rsidR="00F810E0" w:rsidRPr="001063A9" w:rsidRDefault="00B15219">
      <w:pPr>
        <w:keepNext/>
        <w:pBdr>
          <w:top w:val="nil"/>
          <w:left w:val="nil"/>
          <w:bottom w:val="nil"/>
          <w:right w:val="nil"/>
          <w:between w:val="nil"/>
        </w:pBdr>
        <w:ind w:left="0"/>
        <w:jc w:val="left"/>
        <w:rPr>
          <w:b/>
          <w:color w:val="000000"/>
          <w:sz w:val="32"/>
          <w:szCs w:val="32"/>
        </w:rPr>
      </w:pPr>
      <w:r w:rsidRPr="001063A9">
        <w:rPr>
          <w:b/>
          <w:color w:val="000000"/>
          <w:sz w:val="32"/>
          <w:szCs w:val="32"/>
        </w:rPr>
        <w:t>Call-Off Schedule 8 (Business Continuity and Disaster Recovery)</w:t>
      </w:r>
    </w:p>
    <w:p w14:paraId="00000003" w14:textId="77777777" w:rsidR="00F810E0" w:rsidRDefault="00B15219">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7261A6" w14:paraId="706065BB" w14:textId="77777777" w:rsidTr="0097484D">
        <w:tc>
          <w:tcPr>
            <w:tcW w:w="3097" w:type="dxa"/>
          </w:tcPr>
          <w:p w14:paraId="564E9C28" w14:textId="2E21E1BA" w:rsidR="007261A6" w:rsidRPr="0097484D" w:rsidRDefault="007261A6" w:rsidP="007261A6">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“Annual Revenue”</w:t>
            </w:r>
          </w:p>
        </w:tc>
        <w:tc>
          <w:tcPr>
            <w:tcW w:w="5075" w:type="dxa"/>
          </w:tcPr>
          <w:p w14:paraId="64DD7B6D" w14:textId="77777777" w:rsidR="007261A6" w:rsidRPr="0097484D" w:rsidRDefault="007261A6" w:rsidP="007261A6">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97484D">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figures for accounting periods of other than 12 months should be scaled pro rata to produce a proforma figure for a 12 month period; and</w:t>
            </w:r>
          </w:p>
          <w:p w14:paraId="20C994DB" w14:textId="49E6C0FD" w:rsidR="007261A6" w:rsidRPr="0097484D" w:rsidRDefault="007261A6" w:rsidP="0097484D">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83014E" w:rsidRDefault="0083014E" w:rsidP="0083014E">
            <w:pPr>
              <w:pBdr>
                <w:top w:val="nil"/>
                <w:left w:val="nil"/>
                <w:bottom w:val="nil"/>
                <w:right w:val="nil"/>
                <w:between w:val="nil"/>
              </w:pBdr>
              <w:spacing w:after="120"/>
              <w:ind w:left="-108"/>
              <w:jc w:val="left"/>
              <w:rPr>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83014E" w:rsidRDefault="0083014E" w:rsidP="0083014E">
            <w:pPr>
              <w:pBdr>
                <w:top w:val="nil"/>
                <w:left w:val="nil"/>
                <w:bottom w:val="nil"/>
                <w:right w:val="nil"/>
                <w:between w:val="nil"/>
              </w:pBdr>
              <w:spacing w:before="100" w:after="200"/>
              <w:ind w:left="0"/>
              <w:jc w:val="left"/>
              <w:rPr>
                <w:rFonts w:eastAsia="Arial"/>
                <w:color w:val="000000"/>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2326B4BA"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“Associates”</w:t>
            </w:r>
          </w:p>
        </w:tc>
        <w:tc>
          <w:tcPr>
            <w:tcW w:w="5075" w:type="dxa"/>
          </w:tcPr>
          <w:p w14:paraId="6B08ED0C" w14:textId="1EEFFA6C"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14:paraId="265091C0" w14:textId="77777777" w:rsidTr="0097484D">
        <w:tc>
          <w:tcPr>
            <w:tcW w:w="3097" w:type="dxa"/>
          </w:tcPr>
          <w:p w14:paraId="00000005"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"BCDR Plan"</w:t>
            </w:r>
          </w:p>
        </w:tc>
        <w:tc>
          <w:tcPr>
            <w:tcW w:w="5075" w:type="dxa"/>
          </w:tcPr>
          <w:p w14:paraId="00000006"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2.2 of this Schedule;</w:t>
            </w:r>
          </w:p>
        </w:tc>
      </w:tr>
      <w:tr w:rsidR="0083014E" w14:paraId="7BF44851" w14:textId="77777777" w:rsidTr="0097484D">
        <w:tc>
          <w:tcPr>
            <w:tcW w:w="3097" w:type="dxa"/>
          </w:tcPr>
          <w:p w14:paraId="00000007"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"Business Continuity Plan"</w:t>
            </w:r>
          </w:p>
        </w:tc>
        <w:tc>
          <w:tcPr>
            <w:tcW w:w="5075" w:type="dxa"/>
          </w:tcPr>
          <w:p w14:paraId="00000008"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2.3.2 of this Schedule;</w:t>
            </w:r>
          </w:p>
        </w:tc>
      </w:tr>
      <w:tr w:rsidR="0083014E" w14:paraId="0AFEBCB1" w14:textId="77777777" w:rsidTr="0097484D">
        <w:tc>
          <w:tcPr>
            <w:tcW w:w="3097" w:type="dxa"/>
          </w:tcPr>
          <w:p w14:paraId="4FDC3380" w14:textId="11AC7AF9"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“Class 1 Transaction”</w:t>
            </w:r>
          </w:p>
        </w:tc>
        <w:tc>
          <w:tcPr>
            <w:tcW w:w="5075" w:type="dxa"/>
          </w:tcPr>
          <w:p w14:paraId="4DB09987" w14:textId="20F65C0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“Control”</w:t>
            </w:r>
          </w:p>
        </w:tc>
        <w:tc>
          <w:tcPr>
            <w:tcW w:w="5075" w:type="dxa"/>
          </w:tcPr>
          <w:p w14:paraId="666BCBCC" w14:textId="4147F9A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rFonts w:ascii="Arial" w:hAnsi="Arial" w:cs="Arial"/>
                <w:b/>
                <w:sz w:val="24"/>
                <w:szCs w:val="24"/>
              </w:rPr>
              <w:t>Controls</w:t>
            </w:r>
            <w:r w:rsidRPr="0097484D">
              <w:rPr>
                <w:rFonts w:ascii="Arial" w:hAnsi="Arial" w:cs="Arial"/>
                <w:sz w:val="24"/>
                <w:szCs w:val="24"/>
              </w:rPr>
              <w:t>” and “</w:t>
            </w:r>
            <w:r w:rsidRPr="0097484D">
              <w:rPr>
                <w:rFonts w:ascii="Arial" w:hAnsi="Arial" w:cs="Arial"/>
                <w:b/>
                <w:sz w:val="24"/>
                <w:szCs w:val="24"/>
              </w:rPr>
              <w:t>Controlled</w:t>
            </w:r>
            <w:r w:rsidRPr="0097484D">
              <w:rPr>
                <w:rFonts w:ascii="Arial" w:hAnsi="Arial" w:cs="Arial"/>
                <w:sz w:val="24"/>
                <w:szCs w:val="24"/>
              </w:rPr>
              <w:t>” shall be interpreted accordingly;</w:t>
            </w:r>
          </w:p>
        </w:tc>
      </w:tr>
      <w:tr w:rsidR="0083014E" w14:paraId="2524D25B" w14:textId="77777777" w:rsidTr="0097484D">
        <w:tc>
          <w:tcPr>
            <w:tcW w:w="3097" w:type="dxa"/>
          </w:tcPr>
          <w:p w14:paraId="1CDF91DB" w14:textId="014201B2"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“Corporate Change Event”</w:t>
            </w:r>
          </w:p>
        </w:tc>
        <w:tc>
          <w:tcPr>
            <w:tcW w:w="5075" w:type="dxa"/>
          </w:tcPr>
          <w:p w14:paraId="5C47C4B5"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w:t>
            </w:r>
          </w:p>
          <w:p w14:paraId="485232B0"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any change of Control of the Supplier or a Parent Undertaking of the Supplier;</w:t>
            </w:r>
          </w:p>
          <w:p w14:paraId="146F7490"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12D77E00"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700976A0"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3618D3E8"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718647D1"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477E0347"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 xml:space="preserve">an order is made or an effective resolution is passed for the winding up of any member of the Supplier Group; </w:t>
            </w:r>
          </w:p>
          <w:p w14:paraId="4850996D"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571AD43F"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83014E" w14:paraId="76ADB88B" w14:textId="77777777" w:rsidTr="0097484D">
        <w:tc>
          <w:tcPr>
            <w:tcW w:w="3097" w:type="dxa"/>
          </w:tcPr>
          <w:p w14:paraId="0235D059" w14:textId="2078BFB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National Infrastructure”</w:t>
            </w:r>
          </w:p>
        </w:tc>
        <w:tc>
          <w:tcPr>
            <w:tcW w:w="5075" w:type="dxa"/>
          </w:tcPr>
          <w:p w14:paraId="5360AC92"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Service Contract”</w:t>
            </w:r>
          </w:p>
        </w:tc>
        <w:tc>
          <w:tcPr>
            <w:tcW w:w="5075" w:type="dxa"/>
          </w:tcPr>
          <w:p w14:paraId="33D0B938" w14:textId="47AC615E"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a service contract which the Buyer has categorised as a Gold Contract or which the Buyer otherwise considers should be classed as a Critical Service Contract;</w:t>
            </w:r>
          </w:p>
        </w:tc>
      </w:tr>
      <w:tr w:rsidR="0083014E" w14:paraId="090F5318" w14:textId="77777777" w:rsidTr="0097484D">
        <w:tc>
          <w:tcPr>
            <w:tcW w:w="3097" w:type="dxa"/>
          </w:tcPr>
          <w:p w14:paraId="6789CE57" w14:textId="3B203634"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“CRP Information”</w:t>
            </w:r>
          </w:p>
        </w:tc>
        <w:tc>
          <w:tcPr>
            <w:tcW w:w="5075" w:type="dxa"/>
          </w:tcPr>
          <w:p w14:paraId="447CEEC4"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together, the:</w:t>
            </w:r>
          </w:p>
          <w:p w14:paraId="00E68913" w14:textId="19113723"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Group Structure Information and Resolution Commentary; and</w:t>
            </w:r>
          </w:p>
          <w:p w14:paraId="2CBDD133" w14:textId="27254D7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UK Public Sector and CNI Contract Information;</w:t>
            </w:r>
          </w:p>
        </w:tc>
      </w:tr>
      <w:tr w:rsidR="0083014E" w14:paraId="7E591893" w14:textId="77777777" w:rsidTr="0097484D">
        <w:tc>
          <w:tcPr>
            <w:tcW w:w="3097" w:type="dxa"/>
          </w:tcPr>
          <w:p w14:paraId="6B1B6FB1" w14:textId="713B298B"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“Dependent Parent Undertaking”</w:t>
            </w:r>
          </w:p>
        </w:tc>
        <w:tc>
          <w:tcPr>
            <w:tcW w:w="5075" w:type="dxa"/>
          </w:tcPr>
          <w:p w14:paraId="1698C8B9" w14:textId="05B5A77F"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14:paraId="658735E6" w14:textId="77777777" w:rsidTr="0097484D">
        <w:tc>
          <w:tcPr>
            <w:tcW w:w="3097" w:type="dxa"/>
          </w:tcPr>
          <w:p w14:paraId="00000009"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"Disaster"</w:t>
            </w:r>
          </w:p>
        </w:tc>
        <w:tc>
          <w:tcPr>
            <w:tcW w:w="5075" w:type="dxa"/>
          </w:tcPr>
          <w:p w14:paraId="0000000A"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bookmarkStart w:id="1" w:name="_heading=h.30j0zll" w:colFirst="0" w:colLast="0"/>
            <w:bookmarkEnd w:id="1"/>
            <w:r w:rsidRPr="0097484D">
              <w:rPr>
                <w:rFonts w:ascii="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83014E" w14:paraId="0F2B96BE" w14:textId="77777777" w:rsidTr="0097484D">
        <w:tc>
          <w:tcPr>
            <w:tcW w:w="3097" w:type="dxa"/>
          </w:tcPr>
          <w:p w14:paraId="0000000B"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"Disaster Recovery Deliverables"</w:t>
            </w:r>
          </w:p>
        </w:tc>
        <w:tc>
          <w:tcPr>
            <w:tcW w:w="5075" w:type="dxa"/>
          </w:tcPr>
          <w:p w14:paraId="0000000C" w14:textId="77777777" w:rsidR="0083014E" w:rsidRPr="0097484D" w:rsidRDefault="0083014E" w:rsidP="0083014E">
            <w:pPr>
              <w:pBdr>
                <w:top w:val="nil"/>
                <w:left w:val="nil"/>
                <w:bottom w:val="nil"/>
                <w:right w:val="nil"/>
                <w:between w:val="nil"/>
              </w:pBdr>
              <w:tabs>
                <w:tab w:val="left" w:pos="-9"/>
                <w:tab w:val="left" w:pos="-179"/>
              </w:tabs>
              <w:spacing w:after="120"/>
              <w:ind w:left="0"/>
              <w:jc w:val="left"/>
              <w:rPr>
                <w:rFonts w:ascii="Arial" w:hAnsi="Arial" w:cs="Arial"/>
                <w:color w:val="000000"/>
                <w:sz w:val="24"/>
                <w:szCs w:val="24"/>
              </w:rPr>
            </w:pPr>
            <w:r w:rsidRPr="0097484D">
              <w:rPr>
                <w:rFonts w:ascii="Arial" w:hAnsi="Arial" w:cs="Arial"/>
                <w:color w:val="000000"/>
                <w:sz w:val="24"/>
                <w:szCs w:val="24"/>
              </w:rPr>
              <w:t>the Deliverables embodied in the processes and procedures for restoring the provision of Deliverables following the occurrence of a Disaster;</w:t>
            </w:r>
          </w:p>
        </w:tc>
      </w:tr>
      <w:tr w:rsidR="0083014E" w14:paraId="1642B6DD" w14:textId="77777777" w:rsidTr="0097484D">
        <w:tc>
          <w:tcPr>
            <w:tcW w:w="3097" w:type="dxa"/>
          </w:tcPr>
          <w:p w14:paraId="0000000D"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"Disaster Recovery Plan"</w:t>
            </w:r>
          </w:p>
        </w:tc>
        <w:tc>
          <w:tcPr>
            <w:tcW w:w="5075" w:type="dxa"/>
          </w:tcPr>
          <w:p w14:paraId="0000000E"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2.3.3 of this Schedule;</w:t>
            </w:r>
          </w:p>
        </w:tc>
      </w:tr>
      <w:tr w:rsidR="0083014E" w14:paraId="186E0CD6" w14:textId="77777777" w:rsidTr="0097484D">
        <w:tc>
          <w:tcPr>
            <w:tcW w:w="3097" w:type="dxa"/>
          </w:tcPr>
          <w:p w14:paraId="0000000F"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"Disaster Recovery System"</w:t>
            </w:r>
          </w:p>
        </w:tc>
        <w:tc>
          <w:tcPr>
            <w:tcW w:w="5075" w:type="dxa"/>
          </w:tcPr>
          <w:p w14:paraId="00000010" w14:textId="57E2588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the system embodied in the processes and procedures for restoring the provision of Deliverables following the occurrence of a Disaster;</w:t>
            </w:r>
          </w:p>
        </w:tc>
      </w:tr>
      <w:tr w:rsidR="0083014E" w14:paraId="09ABABDB" w14:textId="77777777" w:rsidTr="0097484D">
        <w:tc>
          <w:tcPr>
            <w:tcW w:w="3097" w:type="dxa"/>
          </w:tcPr>
          <w:p w14:paraId="03203E62" w14:textId="54F11C0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“Group Structure Information and Resolution Commentary”</w:t>
            </w:r>
          </w:p>
        </w:tc>
        <w:tc>
          <w:tcPr>
            <w:tcW w:w="5075" w:type="dxa"/>
          </w:tcPr>
          <w:p w14:paraId="0705EEED" w14:textId="40CD0B90"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information relating to the Supplier Group to be provided by the Supplier in accordance with Paragraphs 3 to 5 and Appendix 1 to Part B of Annex 1;</w:t>
            </w:r>
          </w:p>
        </w:tc>
      </w:tr>
      <w:tr w:rsidR="0083014E" w14:paraId="4A59A1FF" w14:textId="77777777" w:rsidTr="0097484D">
        <w:tc>
          <w:tcPr>
            <w:tcW w:w="3097" w:type="dxa"/>
          </w:tcPr>
          <w:p w14:paraId="705B5A48" w14:textId="1541770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“Parent Undertaking”</w:t>
            </w:r>
          </w:p>
        </w:tc>
        <w:tc>
          <w:tcPr>
            <w:tcW w:w="5075" w:type="dxa"/>
          </w:tcPr>
          <w:p w14:paraId="7BA37F5A" w14:textId="0B80B1C6"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1ABE50AB" w14:textId="77777777" w:rsidTr="0097484D">
        <w:tc>
          <w:tcPr>
            <w:tcW w:w="3097" w:type="dxa"/>
          </w:tcPr>
          <w:p w14:paraId="23A914B3" w14:textId="6330A510"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97484D" w:rsidRDefault="006B605C"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sdt>
              <w:sdtPr>
                <w:rPr>
                  <w:sz w:val="24"/>
                  <w:szCs w:val="24"/>
                </w:rPr>
                <w:tag w:val="goog_rdk_1"/>
                <w:id w:val="107942180"/>
              </w:sdtPr>
              <w:sdtEndPr/>
              <w:sdtContent/>
            </w:sdt>
            <w:r w:rsidR="0083014E" w:rsidRPr="0097484D">
              <w:rPr>
                <w:rFonts w:ascii="Arial" w:hAnsi="Arial" w:cs="Arial"/>
                <w:sz w:val="24"/>
                <w:szCs w:val="24"/>
              </w:rPr>
              <w:t>means a supplier where that supplier, or that supplier’s group has Annual Revenue of £50 million or more of which over 50% is generated from UK Public Sector Business;</w:t>
            </w:r>
          </w:p>
        </w:tc>
      </w:tr>
      <w:tr w:rsidR="0083014E" w14:paraId="50EF2B55" w14:textId="77777777" w:rsidTr="0097484D">
        <w:trPr>
          <w:trHeight w:val="567"/>
        </w:trPr>
        <w:tc>
          <w:tcPr>
            <w:tcW w:w="3097" w:type="dxa"/>
          </w:tcPr>
          <w:p w14:paraId="00000011"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"Related Supplier"</w:t>
            </w:r>
          </w:p>
        </w:tc>
        <w:tc>
          <w:tcPr>
            <w:tcW w:w="5075" w:type="dxa"/>
          </w:tcPr>
          <w:p w14:paraId="00000012"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any person who provides Deliverables to the Buyer which are related to the Deliverables from time to time;</w:t>
            </w:r>
          </w:p>
        </w:tc>
      </w:tr>
      <w:tr w:rsidR="0083014E" w14:paraId="025E4190" w14:textId="77777777" w:rsidTr="0097484D">
        <w:trPr>
          <w:trHeight w:val="567"/>
        </w:trPr>
        <w:tc>
          <w:tcPr>
            <w:tcW w:w="3097" w:type="dxa"/>
          </w:tcPr>
          <w:p w14:paraId="00000013"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"Review Report"</w:t>
            </w:r>
          </w:p>
        </w:tc>
        <w:tc>
          <w:tcPr>
            <w:tcW w:w="5075" w:type="dxa"/>
          </w:tcPr>
          <w:p w14:paraId="00000014"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6.3 of this Schedule;</w:t>
            </w:r>
          </w:p>
        </w:tc>
      </w:tr>
      <w:tr w:rsidR="0083014E" w14:paraId="07BF4601" w14:textId="77777777" w:rsidTr="0097484D">
        <w:trPr>
          <w:trHeight w:val="567"/>
        </w:trPr>
        <w:tc>
          <w:tcPr>
            <w:tcW w:w="3097" w:type="dxa"/>
          </w:tcPr>
          <w:p w14:paraId="0F223D44" w14:textId="46014C5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“Subsidiary Undertaking”</w:t>
            </w:r>
          </w:p>
        </w:tc>
        <w:tc>
          <w:tcPr>
            <w:tcW w:w="5075" w:type="dxa"/>
          </w:tcPr>
          <w:p w14:paraId="2F952528" w14:textId="3ADB3BF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2C195D68" w14:textId="77777777" w:rsidTr="0097484D">
        <w:trPr>
          <w:trHeight w:val="567"/>
        </w:trPr>
        <w:tc>
          <w:tcPr>
            <w:tcW w:w="3097" w:type="dxa"/>
          </w:tcPr>
          <w:p w14:paraId="77BFF45A" w14:textId="079844B5"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“Supplier Group”</w:t>
            </w:r>
          </w:p>
        </w:tc>
        <w:tc>
          <w:tcPr>
            <w:tcW w:w="5075" w:type="dxa"/>
          </w:tcPr>
          <w:p w14:paraId="1A0E27CB" w14:textId="77907C49"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p>
        </w:tc>
      </w:tr>
      <w:tr w:rsidR="0083014E" w14:paraId="7505D114" w14:textId="77777777" w:rsidTr="0097484D">
        <w:tc>
          <w:tcPr>
            <w:tcW w:w="3097" w:type="dxa"/>
          </w:tcPr>
          <w:p w14:paraId="00000015"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"Supplier's Proposals"</w:t>
            </w:r>
          </w:p>
        </w:tc>
        <w:tc>
          <w:tcPr>
            <w:tcW w:w="5075" w:type="dxa"/>
          </w:tcPr>
          <w:p w14:paraId="00000016"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6.3 of this Schedule;</w:t>
            </w:r>
          </w:p>
        </w:tc>
      </w:tr>
      <w:tr w:rsidR="0083014E" w14:paraId="59FFED7E" w14:textId="77777777" w:rsidTr="0097484D">
        <w:tc>
          <w:tcPr>
            <w:tcW w:w="3097" w:type="dxa"/>
          </w:tcPr>
          <w:p w14:paraId="781DAD1F" w14:textId="4D35943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Business”</w:t>
            </w:r>
          </w:p>
        </w:tc>
        <w:tc>
          <w:tcPr>
            <w:tcW w:w="5075" w:type="dxa"/>
          </w:tcPr>
          <w:p w14:paraId="25877E2B" w14:textId="1B84DA6E"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83014E" w14:paraId="37CAE6D8" w14:textId="77777777" w:rsidTr="0097484D">
        <w:tc>
          <w:tcPr>
            <w:tcW w:w="3097" w:type="dxa"/>
          </w:tcPr>
          <w:p w14:paraId="7ABC188F" w14:textId="52BC6183"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 CNI Contract Information”</w:t>
            </w:r>
          </w:p>
        </w:tc>
        <w:tc>
          <w:tcPr>
            <w:tcW w:w="5075" w:type="dxa"/>
          </w:tcPr>
          <w:p w14:paraId="1D07300B" w14:textId="1FF5B73B"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information relating to the Supplier Group to be provided by the Supplier in accordance with Paragraphs 3 to 5 and Appendix 2 of Part B of Annex 1;</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2C099306"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t>Part A: BCDR Plan</w:t>
      </w:r>
    </w:p>
    <w:p w14:paraId="00000017" w14:textId="4094E3C6"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 Schedule 4 (Framework Management), CCS shall have the right to enforce the Buyer's rights under this Schedule.</w:t>
      </w:r>
    </w:p>
    <w:p w14:paraId="00000019"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0000001C" w14:textId="4AF87EC0"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Start w:id="4" w:name="_Ref69119429"/>
      <w:bookmarkEnd w:id="3"/>
      <w:r>
        <w:rPr>
          <w:color w:val="000000"/>
          <w:sz w:val="24"/>
          <w:szCs w:val="24"/>
        </w:rPr>
        <w:t>Section 1 which shall set out general principles applicable to the BCDR Plan;</w:t>
      </w:r>
      <w:bookmarkEnd w:id="4"/>
      <w:r>
        <w:rPr>
          <w:color w:val="000000"/>
          <w:sz w:val="24"/>
          <w:szCs w:val="24"/>
        </w:rPr>
        <w:t xml:space="preserve"> </w:t>
      </w:r>
    </w:p>
    <w:p w14:paraId="0000001E" w14:textId="14055508"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p>
    <w:p w14:paraId="0000001F" w14:textId="4DC1C69A"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Start w:id="7" w:name="_Ref69119439"/>
      <w:bookmarkEnd w:id="6"/>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and</w:t>
      </w:r>
      <w:bookmarkEnd w:id="7"/>
    </w:p>
    <w:p w14:paraId="5EB24446" w14:textId="22770C5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14:paraId="00000020"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8" w:name="_heading=h.3dy6vkm" w:colFirst="0" w:colLast="0"/>
      <w:bookmarkEnd w:id="8"/>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General Principles of the BCDR Plan (Section 1)</w:t>
      </w:r>
    </w:p>
    <w:p w14:paraId="00000022"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bookmarkStart w:id="10" w:name="_Ref69116108"/>
      <w:r>
        <w:rPr>
          <w:color w:val="000000"/>
          <w:sz w:val="24"/>
          <w:szCs w:val="24"/>
        </w:rPr>
        <w:t>Section 1 of the BCDR Plan shall:</w:t>
      </w:r>
      <w:bookmarkEnd w:id="10"/>
    </w:p>
    <w:p w14:paraId="00000023"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1ci93xb" w:colFirst="0" w:colLast="0"/>
      <w:bookmarkEnd w:id="11"/>
      <w:r>
        <w:rPr>
          <w:color w:val="000000"/>
          <w:sz w:val="24"/>
          <w:szCs w:val="24"/>
        </w:rPr>
        <w:t>set out how the business continuity and disaster recovery elements of the BCDR Plan link to each other;</w:t>
      </w:r>
    </w:p>
    <w:p w14:paraId="00000024"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681293">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681293">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77777777" w:rsidR="00F810E0" w:rsidRDefault="00B15219" w:rsidP="00681293">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000002B" w14:textId="77777777" w:rsidR="00F810E0" w:rsidRDefault="00B15219" w:rsidP="00681293">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681293">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262BD1A9"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6094F9B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2BF5A811"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12"/>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84"/>
      <w:r w:rsidRPr="007578DD">
        <w:rPr>
          <w:color w:val="000000"/>
          <w:sz w:val="24"/>
          <w:szCs w:val="24"/>
        </w:rPr>
        <w:t>detail how the BCDR Plan links and interoperates with any overarching and/or connected insolvency continuity plan of the Buyer and any of its other Related Service Suppliers in each case as notified to the Supplier by the Buyer from time to time.</w:t>
      </w:r>
      <w:bookmarkEnd w:id="13"/>
    </w:p>
    <w:p w14:paraId="00000033"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14:paraId="00000034"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00000038"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14" w:name="_heading=h.4d34og8" w:colFirst="0" w:colLast="0"/>
      <w:bookmarkEnd w:id="14"/>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0000003E"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s8eyo1" w:colFirst="0" w:colLast="0"/>
      <w:bookmarkEnd w:id="15"/>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00000043" w14:textId="77777777"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14:paraId="00000044"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16" w:name="_heading=h.17dp8vu" w:colFirst="0" w:colLast="0"/>
      <w:bookmarkEnd w:id="16"/>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2106F0F7" w14:textId="16CDA6B0" w:rsidR="00867708" w:rsidRDefault="007578DD"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7" w:name="_Ref69119516"/>
      <w:r>
        <w:rPr>
          <w:rFonts w:ascii="Arial Bold" w:eastAsia="Arial Bold" w:hAnsi="Arial Bold" w:cs="Arial Bold"/>
          <w:b/>
          <w:color w:val="000000"/>
          <w:sz w:val="24"/>
          <w:szCs w:val="24"/>
        </w:rPr>
        <w:t>Insolvency Continuity P</w:t>
      </w:r>
      <w:r w:rsidR="00867708"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00867708" w:rsidRPr="00867708">
        <w:rPr>
          <w:rFonts w:ascii="Arial Bold" w:eastAsia="Arial Bold" w:hAnsi="Arial Bold" w:cs="Arial Bold"/>
          <w:b/>
          <w:color w:val="000000"/>
          <w:sz w:val="24"/>
          <w:szCs w:val="24"/>
        </w:rPr>
        <w:t xml:space="preserve"> (section 4)</w:t>
      </w:r>
      <w:bookmarkEnd w:id="17"/>
    </w:p>
    <w:p w14:paraId="1A100B69"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4927A3B"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14:paraId="32682764"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60BBE7D7"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23BA0C02"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14:paraId="336B679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3A71F4E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sufficient detail to enable an appointed insolvency practitioner to invoke the plan in the event of an Insolvency Event of the Supplier.</w:t>
      </w:r>
    </w:p>
    <w:p w14:paraId="1B7A4770" w14:textId="458C3756" w:rsidR="007578DD" w:rsidRDefault="007578DD" w:rsidP="00681293">
      <w:pPr>
        <w:keepNext/>
        <w:numPr>
          <w:ilvl w:val="2"/>
          <w:numId w:val="12"/>
        </w:numPr>
        <w:pBdr>
          <w:top w:val="nil"/>
          <w:left w:val="nil"/>
          <w:bottom w:val="nil"/>
          <w:right w:val="nil"/>
          <w:between w:val="nil"/>
        </w:pBdr>
        <w:spacing w:before="120" w:after="120"/>
        <w:jc w:val="left"/>
        <w:rPr>
          <w:color w:val="000000"/>
          <w:sz w:val="24"/>
          <w:szCs w:val="24"/>
        </w:rPr>
      </w:pPr>
      <w:r>
        <w:rPr>
          <w:sz w:val="24"/>
          <w:szCs w:val="24"/>
        </w:rPr>
        <w:t>In addition to t</w:t>
      </w:r>
      <w:r w:rsidR="000F6A61">
        <w:rPr>
          <w:sz w:val="24"/>
          <w:szCs w:val="24"/>
        </w:rPr>
        <w:t xml:space="preserve">he provisions of Paragraph </w:t>
      </w:r>
      <w:r w:rsidR="000F6A61">
        <w:rPr>
          <w:sz w:val="24"/>
          <w:szCs w:val="24"/>
        </w:rPr>
        <w:fldChar w:fldCharType="begin"/>
      </w:r>
      <w:r w:rsidR="000F6A61">
        <w:rPr>
          <w:sz w:val="24"/>
          <w:szCs w:val="24"/>
        </w:rPr>
        <w:instrText xml:space="preserve"> REF _Ref69116108 \r \h </w:instrText>
      </w:r>
      <w:r w:rsidR="000F6A61">
        <w:rPr>
          <w:sz w:val="24"/>
          <w:szCs w:val="24"/>
        </w:rPr>
      </w:r>
      <w:r w:rsidR="000F6A61">
        <w:rPr>
          <w:sz w:val="24"/>
          <w:szCs w:val="24"/>
        </w:rPr>
        <w:fldChar w:fldCharType="separate"/>
      </w:r>
      <w:r w:rsidR="000F6A61">
        <w:rPr>
          <w:sz w:val="24"/>
          <w:szCs w:val="24"/>
        </w:rPr>
        <w:t>2.1</w:t>
      </w:r>
      <w:r w:rsidR="000F6A61">
        <w:rPr>
          <w:sz w:val="24"/>
          <w:szCs w:val="24"/>
        </w:rPr>
        <w:fldChar w:fldCharType="end"/>
      </w:r>
      <w:r>
        <w:rPr>
          <w:sz w:val="24"/>
          <w:szCs w:val="24"/>
        </w:rPr>
        <w:t xml:space="preserve"> of </w:t>
      </w:r>
      <w:r w:rsidR="000F6A61">
        <w:rPr>
          <w:sz w:val="24"/>
          <w:szCs w:val="24"/>
        </w:rPr>
        <w:t xml:space="preserve">this </w:t>
      </w:r>
      <w:r>
        <w:rPr>
          <w:sz w:val="24"/>
          <w:szCs w:val="24"/>
        </w:rPr>
        <w:t xml:space="preserve">Call-Off Schedule 8, </w:t>
      </w:r>
      <w:r>
        <w:rPr>
          <w:color w:val="000000"/>
          <w:sz w:val="24"/>
          <w:szCs w:val="24"/>
        </w:rPr>
        <w:t>Section 1 of the BCDR Plan shall:</w:t>
      </w:r>
    </w:p>
    <w:p w14:paraId="328175FC" w14:textId="77777777" w:rsidR="007578DD" w:rsidRDefault="007578DD" w:rsidP="00681293">
      <w:pPr>
        <w:keepNext/>
        <w:numPr>
          <w:ilvl w:val="2"/>
          <w:numId w:val="12"/>
        </w:numPr>
        <w:pBdr>
          <w:top w:val="nil"/>
          <w:left w:val="nil"/>
          <w:bottom w:val="nil"/>
          <w:right w:val="nil"/>
          <w:between w:val="nil"/>
        </w:pBdr>
        <w:spacing w:before="120" w:after="120"/>
        <w:jc w:val="left"/>
        <w:rPr>
          <w:sz w:val="24"/>
          <w:szCs w:val="24"/>
        </w:rPr>
      </w:pPr>
      <w:r>
        <w:rPr>
          <w:sz w:val="24"/>
          <w:szCs w:val="24"/>
        </w:rPr>
        <w:t>The Insolvency Continuity Plan element of the BCDR Plan, including any linked elements in other parts of the BCDR Plan, shall be invoked by the Supplier:</w:t>
      </w:r>
    </w:p>
    <w:p w14:paraId="2B981266" w14:textId="77777777" w:rsidR="007578DD" w:rsidRDefault="007578DD" w:rsidP="00681293">
      <w:pPr>
        <w:numPr>
          <w:ilvl w:val="3"/>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where an Insolvency Event of a Key Sub-contractor and/or Supplier Group member (other than the Supplier) could reasonably be expected to adversely affect delivery of the Deliverables; and/or</w:t>
      </w:r>
    </w:p>
    <w:p w14:paraId="0406A255" w14:textId="77777777" w:rsidR="007578DD" w:rsidRDefault="007578DD" w:rsidP="00681293">
      <w:pPr>
        <w:numPr>
          <w:ilvl w:val="3"/>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where there is an Insolvency Event of the Supplier and the insolvency arrangements enable the Supplier to invoke the plan.</w:t>
      </w:r>
    </w:p>
    <w:p w14:paraId="00000053" w14:textId="546AD1FE"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bookmarkStart w:id="18" w:name="_heading=h.3rdcrjn" w:colFirst="0" w:colLast="0"/>
      <w:bookmarkEnd w:id="18"/>
      <w:r>
        <w:rPr>
          <w:color w:val="000000"/>
          <w:sz w:val="24"/>
          <w:szCs w:val="24"/>
        </w:rPr>
        <w:t>The Supplier shall review the BCDR Plan:</w:t>
      </w:r>
    </w:p>
    <w:p w14:paraId="00000055"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26in1rg" w:colFirst="0" w:colLast="0"/>
      <w:bookmarkEnd w:id="19"/>
      <w:r>
        <w:rPr>
          <w:color w:val="000000"/>
          <w:sz w:val="24"/>
          <w:szCs w:val="24"/>
        </w:rPr>
        <w:t>on a regular basis and as a minimum once every six (6) Months;</w:t>
      </w:r>
    </w:p>
    <w:p w14:paraId="00000056" w14:textId="51F8B03A"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lnxbz9" w:colFirst="0" w:colLast="0"/>
      <w:bookmarkEnd w:id="20"/>
      <w:r>
        <w:rPr>
          <w:color w:val="000000"/>
          <w:sz w:val="24"/>
          <w:szCs w:val="24"/>
        </w:rPr>
        <w:t>within three (3) calendar Months of the BCDR Plan (or any part) having been</w:t>
      </w:r>
      <w:r w:rsidR="000F6A61">
        <w:rPr>
          <w:color w:val="000000"/>
          <w:sz w:val="24"/>
          <w:szCs w:val="24"/>
        </w:rPr>
        <w:t xml:space="preserve"> invoked pursuant to Paragraph </w:t>
      </w:r>
      <w:r w:rsidR="000F6A61">
        <w:rPr>
          <w:color w:val="000000"/>
          <w:sz w:val="24"/>
          <w:szCs w:val="24"/>
        </w:rPr>
        <w:fldChar w:fldCharType="begin"/>
      </w:r>
      <w:r w:rsidR="000F6A61">
        <w:rPr>
          <w:color w:val="000000"/>
          <w:sz w:val="24"/>
          <w:szCs w:val="24"/>
        </w:rPr>
        <w:instrText xml:space="preserve"> REF _Ref69116349 \r \h </w:instrText>
      </w:r>
      <w:r w:rsidR="000F6A61">
        <w:rPr>
          <w:color w:val="000000"/>
          <w:sz w:val="24"/>
          <w:szCs w:val="24"/>
        </w:rPr>
      </w:r>
      <w:r w:rsidR="000F6A61">
        <w:rPr>
          <w:color w:val="000000"/>
          <w:sz w:val="24"/>
          <w:szCs w:val="24"/>
        </w:rPr>
        <w:fldChar w:fldCharType="separate"/>
      </w:r>
      <w:r w:rsidR="000F6A61">
        <w:rPr>
          <w:color w:val="000000"/>
          <w:sz w:val="24"/>
          <w:szCs w:val="24"/>
        </w:rPr>
        <w:t>8</w:t>
      </w:r>
      <w:r w:rsidR="000F6A61">
        <w:rPr>
          <w:color w:val="000000"/>
          <w:sz w:val="24"/>
          <w:szCs w:val="24"/>
        </w:rPr>
        <w:fldChar w:fldCharType="end"/>
      </w:r>
      <w:r>
        <w:rPr>
          <w:color w:val="000000"/>
          <w:sz w:val="24"/>
          <w:szCs w:val="24"/>
        </w:rPr>
        <w:t>; and</w:t>
      </w:r>
    </w:p>
    <w:p w14:paraId="0000005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35nkun2" w:colFirst="0" w:colLast="0"/>
      <w:bookmarkEnd w:id="21"/>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2" w:name="_heading=h.1ksv4uv" w:colFirst="0" w:colLast="0"/>
      <w:bookmarkEnd w:id="22"/>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3" w:name="_heading=h.44sinio" w:colFirst="0" w:colLast="0"/>
      <w:bookmarkEnd w:id="23"/>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4" w:name="_heading=h.2jxsxqh" w:colFirst="0" w:colLast="0"/>
      <w:bookmarkEnd w:id="24"/>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681293">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5" w:name="_heading=h.z337ya" w:colFirst="0" w:colLast="0"/>
      <w:bookmarkEnd w:id="25"/>
      <w:r>
        <w:rPr>
          <w:rFonts w:ascii="Arial Bold" w:eastAsia="Arial Bold" w:hAnsi="Arial Bold" w:cs="Arial Bold"/>
          <w:b/>
          <w:color w:val="000000"/>
          <w:sz w:val="24"/>
          <w:szCs w:val="24"/>
        </w:rPr>
        <w:t>Testing the BCDR Plan</w:t>
      </w:r>
    </w:p>
    <w:p w14:paraId="0000005D"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bookmarkStart w:id="26" w:name="_heading=h.3j2qqm3" w:colFirst="0" w:colLast="0"/>
      <w:bookmarkEnd w:id="26"/>
      <w:r>
        <w:rPr>
          <w:color w:val="000000"/>
          <w:sz w:val="24"/>
          <w:szCs w:val="24"/>
        </w:rPr>
        <w:t xml:space="preserve">The Supplier shall test the BCDR Plan: </w:t>
      </w:r>
    </w:p>
    <w:p w14:paraId="0000005E"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0000061"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7" w:name="_heading=h.1y810tw" w:colFirst="0" w:colLast="0"/>
      <w:bookmarkEnd w:id="27"/>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0000068"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8" w:name="_heading=h.4i7ojhp" w:colFirst="0" w:colLast="0"/>
      <w:bookmarkEnd w:id="28"/>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9" w:name="_heading=h.2xcytpi" w:colFirst="0" w:colLast="0"/>
      <w:bookmarkStart w:id="30" w:name="_Ref69116349"/>
      <w:bookmarkEnd w:id="29"/>
      <w:r>
        <w:rPr>
          <w:rFonts w:ascii="Arial Bold" w:eastAsia="Arial Bold" w:hAnsi="Arial Bold" w:cs="Arial Bold"/>
          <w:b/>
          <w:color w:val="000000"/>
          <w:sz w:val="24"/>
          <w:szCs w:val="24"/>
        </w:rPr>
        <w:t>Invoking the BCDR Plan</w:t>
      </w:r>
      <w:bookmarkEnd w:id="30"/>
    </w:p>
    <w:p w14:paraId="0000006A" w14:textId="5EBD9755"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0538B21" w14:textId="77777777" w:rsidR="007578DD" w:rsidRDefault="007578DD" w:rsidP="00681293">
      <w:pPr>
        <w:numPr>
          <w:ilvl w:val="1"/>
          <w:numId w:val="12"/>
        </w:numPr>
        <w:pBdr>
          <w:top w:val="nil"/>
          <w:left w:val="nil"/>
          <w:bottom w:val="nil"/>
          <w:right w:val="nil"/>
          <w:between w:val="nil"/>
        </w:pBdr>
        <w:spacing w:before="120" w:after="120"/>
        <w:jc w:val="left"/>
        <w:rPr>
          <w:sz w:val="24"/>
          <w:szCs w:val="24"/>
        </w:rPr>
      </w:pPr>
      <w:bookmarkStart w:id="31"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1"/>
    </w:p>
    <w:p w14:paraId="000D4A3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there is an Insolvency Event of the Supplier and the insolvency arrangements enable the Supplier to invoke the plan.</w:t>
      </w:r>
    </w:p>
    <w:p w14:paraId="0000006B" w14:textId="77777777" w:rsidR="00F810E0" w:rsidRDefault="00B15219" w:rsidP="00681293">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4B5A7C67" w:rsidR="00F810E0" w:rsidRDefault="0036477C" w:rsidP="0036477C">
      <w:pPr>
        <w:keepNext/>
        <w:numPr>
          <w:ilvl w:val="0"/>
          <w:numId w:val="12"/>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4433C70" w14:textId="7DCAF099"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EndPr/>
        <w:sdtContent/>
      </w:sdt>
      <w:r>
        <w:rPr>
          <w:color w:val="000000"/>
          <w:sz w:val="24"/>
          <w:szCs w:val="24"/>
        </w:rPr>
        <w:t xml:space="preserve"> if specified in the Order Form, the following provisions of this Call-Off Schedule 8, shall be disapplied in respect of that Contract:</w:t>
      </w:r>
    </w:p>
    <w:p w14:paraId="6D7D074E" w14:textId="13A8C22E" w:rsidR="0085360A" w:rsidRDefault="0036477C"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Paragraph 1</w:t>
      </w:r>
      <w:r w:rsidR="0085360A">
        <w:rPr>
          <w:color w:val="000000"/>
          <w:sz w:val="24"/>
          <w:szCs w:val="24"/>
        </w:rPr>
        <w:t>.3.4</w:t>
      </w:r>
      <w:r>
        <w:rPr>
          <w:color w:val="000000"/>
          <w:sz w:val="24"/>
          <w:szCs w:val="24"/>
        </w:rPr>
        <w:t xml:space="preserve"> of Part A</w:t>
      </w:r>
      <w:r w:rsidR="0085360A">
        <w:rPr>
          <w:color w:val="000000"/>
          <w:sz w:val="24"/>
          <w:szCs w:val="24"/>
        </w:rPr>
        <w:t xml:space="preserve"> so that the BCDR plan shall only be required to be split into the three sections detailed in paragraphs </w:t>
      </w:r>
      <w:r w:rsidR="00BB5D3B">
        <w:rPr>
          <w:color w:val="000000"/>
          <w:sz w:val="24"/>
          <w:szCs w:val="24"/>
        </w:rPr>
        <w:fldChar w:fldCharType="begin"/>
      </w:r>
      <w:r w:rsidR="00BB5D3B">
        <w:rPr>
          <w:color w:val="000000"/>
          <w:sz w:val="24"/>
          <w:szCs w:val="24"/>
        </w:rPr>
        <w:instrText xml:space="preserve"> REF _Ref69119429 \r \h </w:instrText>
      </w:r>
      <w:r w:rsidR="00BB5D3B">
        <w:rPr>
          <w:color w:val="000000"/>
          <w:sz w:val="24"/>
          <w:szCs w:val="24"/>
        </w:rPr>
      </w:r>
      <w:r w:rsidR="00BB5D3B">
        <w:rPr>
          <w:color w:val="000000"/>
          <w:sz w:val="24"/>
          <w:szCs w:val="24"/>
        </w:rPr>
        <w:fldChar w:fldCharType="separate"/>
      </w:r>
      <w:r w:rsidR="00BB5D3B">
        <w:rPr>
          <w:color w:val="000000"/>
          <w:sz w:val="24"/>
          <w:szCs w:val="24"/>
        </w:rPr>
        <w:t>1.3.1</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_Ref69119439 \r \h </w:instrText>
      </w:r>
      <w:r w:rsidR="00BB5D3B">
        <w:rPr>
          <w:color w:val="000000"/>
          <w:sz w:val="24"/>
          <w:szCs w:val="24"/>
        </w:rPr>
      </w:r>
      <w:r w:rsidR="00BB5D3B">
        <w:rPr>
          <w:color w:val="000000"/>
          <w:sz w:val="24"/>
          <w:szCs w:val="24"/>
        </w:rPr>
        <w:fldChar w:fldCharType="separate"/>
      </w:r>
      <w:r w:rsidR="00BB5D3B">
        <w:rPr>
          <w:color w:val="000000"/>
          <w:sz w:val="24"/>
          <w:szCs w:val="24"/>
        </w:rPr>
        <w:t>1.3.3</w:t>
      </w:r>
      <w:r w:rsidR="00BB5D3B">
        <w:rPr>
          <w:color w:val="000000"/>
          <w:sz w:val="24"/>
          <w:szCs w:val="24"/>
        </w:rPr>
        <w:fldChar w:fldCharType="end"/>
      </w:r>
      <w:r w:rsidR="0085360A">
        <w:rPr>
          <w:color w:val="000000"/>
          <w:sz w:val="24"/>
          <w:szCs w:val="24"/>
        </w:rPr>
        <w:t xml:space="preserve"> </w:t>
      </w:r>
      <w:proofErr w:type="gramStart"/>
      <w:r w:rsidR="0085360A">
        <w:rPr>
          <w:color w:val="000000"/>
          <w:sz w:val="24"/>
          <w:szCs w:val="24"/>
        </w:rPr>
        <w:t>inclusive;</w:t>
      </w:r>
      <w:proofErr w:type="gramEnd"/>
    </w:p>
    <w:p w14:paraId="715934DF" w14:textId="736708B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sidR="00BB5D3B">
        <w:rPr>
          <w:color w:val="000000"/>
          <w:sz w:val="24"/>
          <w:szCs w:val="24"/>
        </w:rPr>
        <w:fldChar w:fldCharType="begin"/>
      </w:r>
      <w:r w:rsidR="00BB5D3B">
        <w:rPr>
          <w:color w:val="000000"/>
          <w:sz w:val="24"/>
          <w:szCs w:val="24"/>
        </w:rPr>
        <w:instrText xml:space="preserve"> REF _Ref69119468 \r \h </w:instrText>
      </w:r>
      <w:r w:rsidR="00BB5D3B">
        <w:rPr>
          <w:color w:val="000000"/>
          <w:sz w:val="24"/>
          <w:szCs w:val="24"/>
        </w:rPr>
      </w:r>
      <w:r w:rsidR="00BB5D3B">
        <w:rPr>
          <w:color w:val="000000"/>
          <w:sz w:val="24"/>
          <w:szCs w:val="24"/>
        </w:rPr>
        <w:fldChar w:fldCharType="separate"/>
      </w:r>
      <w:r w:rsidR="00BB5D3B">
        <w:rPr>
          <w:color w:val="000000"/>
          <w:sz w:val="24"/>
          <w:szCs w:val="24"/>
        </w:rPr>
        <w:t>2.1.13</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_Ref69119484 \r \h </w:instrText>
      </w:r>
      <w:r w:rsidR="00BB5D3B">
        <w:rPr>
          <w:color w:val="000000"/>
          <w:sz w:val="24"/>
          <w:szCs w:val="24"/>
        </w:rPr>
      </w:r>
      <w:r w:rsidR="00BB5D3B">
        <w:rPr>
          <w:color w:val="000000"/>
          <w:sz w:val="24"/>
          <w:szCs w:val="24"/>
        </w:rPr>
        <w:fldChar w:fldCharType="separate"/>
      </w:r>
      <w:r w:rsidR="00BB5D3B">
        <w:rPr>
          <w:color w:val="000000"/>
          <w:sz w:val="24"/>
          <w:szCs w:val="24"/>
        </w:rPr>
        <w:t>2.1.15</w:t>
      </w:r>
      <w:r w:rsidR="00BB5D3B">
        <w:rPr>
          <w:color w:val="000000"/>
          <w:sz w:val="24"/>
          <w:szCs w:val="24"/>
        </w:rPr>
        <w:fldChar w:fldCharType="end"/>
      </w:r>
      <w:r w:rsidR="00BB5D3B">
        <w:rPr>
          <w:color w:val="000000"/>
          <w:sz w:val="24"/>
          <w:szCs w:val="24"/>
        </w:rPr>
        <w:t xml:space="preserve"> of Part A</w:t>
      </w:r>
      <w:r>
        <w:rPr>
          <w:color w:val="000000"/>
          <w:sz w:val="24"/>
          <w:szCs w:val="24"/>
        </w:rPr>
        <w:t xml:space="preserve">, </w:t>
      </w:r>
      <w:proofErr w:type="gramStart"/>
      <w:r>
        <w:rPr>
          <w:color w:val="000000"/>
          <w:sz w:val="24"/>
          <w:szCs w:val="24"/>
        </w:rPr>
        <w:t>inclusive;</w:t>
      </w:r>
      <w:proofErr w:type="gramEnd"/>
    </w:p>
    <w:p w14:paraId="796573A7" w14:textId="59560E74"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sidR="0085360A">
        <w:rPr>
          <w:color w:val="000000"/>
          <w:sz w:val="24"/>
          <w:szCs w:val="24"/>
        </w:rPr>
        <w:t xml:space="preserve"> (Insolvency Continuity Plan)</w:t>
      </w:r>
      <w:r>
        <w:rPr>
          <w:color w:val="000000"/>
          <w:sz w:val="24"/>
          <w:szCs w:val="24"/>
        </w:rPr>
        <w:t xml:space="preserve"> of Part </w:t>
      </w:r>
      <w:proofErr w:type="gramStart"/>
      <w:r>
        <w:rPr>
          <w:color w:val="000000"/>
          <w:sz w:val="24"/>
          <w:szCs w:val="24"/>
        </w:rPr>
        <w:t>A</w:t>
      </w:r>
      <w:r w:rsidR="0085360A">
        <w:rPr>
          <w:color w:val="000000"/>
          <w:sz w:val="24"/>
          <w:szCs w:val="24"/>
        </w:rPr>
        <w:t>;</w:t>
      </w:r>
      <w:proofErr w:type="gramEnd"/>
    </w:p>
    <w:p w14:paraId="44E5A37F" w14:textId="2D93FE93"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w:t>
      </w:r>
      <w:r w:rsidR="0085360A">
        <w:rPr>
          <w:color w:val="000000"/>
          <w:sz w:val="24"/>
          <w:szCs w:val="24"/>
        </w:rPr>
        <w:t>; and</w:t>
      </w:r>
    </w:p>
    <w:p w14:paraId="2FF1B516" w14:textId="1F432AF0"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p>
    <w:p w14:paraId="601CE1F5" w14:textId="4B17BEDE"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EndPr/>
        <w:sdtContent/>
      </w:sdt>
      <w:r>
        <w:rPr>
          <w:color w:val="000000"/>
          <w:sz w:val="24"/>
          <w:szCs w:val="24"/>
        </w:rPr>
        <w:t xml:space="preserve"> if specified in the Order Form, the following definitions in Paragraph 1 of this Call-Off Schedule 8, shall be deemed to be deleted:</w:t>
      </w:r>
    </w:p>
    <w:p w14:paraId="69022B74" w14:textId="3C3C241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6A40C923" w14:textId="0DC28A15" w:rsidR="00063994" w:rsidRPr="00063994" w:rsidRDefault="00063994" w:rsidP="00063994">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1C4B16EF" w14:textId="66B8AD4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Associates;</w:t>
      </w:r>
    </w:p>
    <w:p w14:paraId="55DC8BE8" w14:textId="76AF92D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Class 1 Transaction;</w:t>
      </w:r>
    </w:p>
    <w:p w14:paraId="48A08DA8" w14:textId="75331F1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453DD31C" w14:textId="2D2D4985"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r w:rsidR="00063994">
        <w:rPr>
          <w:color w:val="000000"/>
          <w:sz w:val="24"/>
          <w:szCs w:val="24"/>
        </w:rPr>
        <w:t>;</w:t>
      </w:r>
    </w:p>
    <w:p w14:paraId="59D25FE0" w14:textId="363C90D7"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r w:rsidR="00063994">
        <w:rPr>
          <w:color w:val="000000"/>
          <w:sz w:val="24"/>
          <w:szCs w:val="24"/>
        </w:rPr>
        <w:t>;</w:t>
      </w:r>
    </w:p>
    <w:p w14:paraId="0B7AF6C1" w14:textId="6DA73CE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r w:rsidR="00063994">
        <w:rPr>
          <w:color w:val="000000"/>
          <w:sz w:val="24"/>
          <w:szCs w:val="24"/>
        </w:rPr>
        <w:t>;</w:t>
      </w:r>
    </w:p>
    <w:p w14:paraId="37F77866" w14:textId="3919F2C4"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CRP Information</w:t>
      </w:r>
      <w:r w:rsidR="00063994">
        <w:rPr>
          <w:color w:val="000000"/>
          <w:sz w:val="24"/>
          <w:szCs w:val="24"/>
        </w:rPr>
        <w:t>;</w:t>
      </w:r>
    </w:p>
    <w:p w14:paraId="53BE6C72" w14:textId="3A93AC55" w:rsidR="0085360A" w:rsidRDefault="0085360A" w:rsidP="00063994">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r w:rsidR="00063994">
        <w:rPr>
          <w:color w:val="000000"/>
          <w:sz w:val="24"/>
          <w:szCs w:val="24"/>
        </w:rPr>
        <w:t>;</w:t>
      </w:r>
    </w:p>
    <w:p w14:paraId="7D0A1659" w14:textId="21A2F571" w:rsidR="0085360A"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Group </w:t>
      </w:r>
      <w:r w:rsidR="00BB5D3B">
        <w:rPr>
          <w:color w:val="000000"/>
          <w:sz w:val="24"/>
          <w:szCs w:val="24"/>
        </w:rPr>
        <w:t>Structure</w:t>
      </w:r>
      <w:r>
        <w:rPr>
          <w:color w:val="000000"/>
          <w:sz w:val="24"/>
          <w:szCs w:val="24"/>
        </w:rPr>
        <w:t xml:space="preserve"> Information and Resolution Commentary;</w:t>
      </w:r>
    </w:p>
    <w:p w14:paraId="0E0FEEB1" w14:textId="6A6FC58D"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r w:rsidR="00063994">
        <w:rPr>
          <w:color w:val="000000"/>
          <w:sz w:val="24"/>
          <w:szCs w:val="24"/>
        </w:rPr>
        <w:t>;</w:t>
      </w:r>
    </w:p>
    <w:p w14:paraId="093CCA9C" w14:textId="3F1C0630"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r w:rsidR="00063994">
        <w:rPr>
          <w:color w:val="000000"/>
          <w:sz w:val="24"/>
          <w:szCs w:val="24"/>
        </w:rPr>
        <w:t>;</w:t>
      </w:r>
    </w:p>
    <w:p w14:paraId="607D2E74" w14:textId="7312C3E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r w:rsidR="00063994">
        <w:rPr>
          <w:color w:val="000000"/>
          <w:sz w:val="24"/>
          <w:szCs w:val="24"/>
        </w:rPr>
        <w:t>;</w:t>
      </w:r>
    </w:p>
    <w:p w14:paraId="6BA5874A" w14:textId="1B04EC13"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r w:rsidR="00063994">
        <w:rPr>
          <w:color w:val="000000"/>
          <w:sz w:val="24"/>
          <w:szCs w:val="24"/>
        </w:rPr>
        <w:t>;</w:t>
      </w:r>
    </w:p>
    <w:p w14:paraId="39A27599" w14:textId="01FF977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w:t>
      </w:r>
      <w:r w:rsidR="00063994">
        <w:rPr>
          <w:color w:val="000000"/>
          <w:sz w:val="24"/>
          <w:szCs w:val="24"/>
        </w:rPr>
        <w:t>; and</w:t>
      </w:r>
    </w:p>
    <w:p w14:paraId="551546D6" w14:textId="7871FBA1"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r w:rsidR="00063994">
        <w:rPr>
          <w:color w:val="000000"/>
          <w:sz w:val="24"/>
          <w:szCs w:val="24"/>
        </w:rPr>
        <w:t>.</w:t>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BB8A6C9" w14:textId="77777777" w:rsidR="0097484D" w:rsidRDefault="0097484D" w:rsidP="0097484D">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t>Part B:  Corporate Resolution Planning</w:t>
      </w:r>
    </w:p>
    <w:p w14:paraId="55E36547"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0FB14317" w14:textId="36A0457E"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sidRPr="001063A9">
        <w:rPr>
          <w:rFonts w:eastAsia="Arial"/>
          <w:color w:val="000000"/>
          <w:sz w:val="24"/>
          <w:szCs w:val="24"/>
        </w:rPr>
        <w:t>is not</w:t>
      </w:r>
      <w:r>
        <w:rPr>
          <w:rFonts w:eastAsia="Arial"/>
          <w:color w:val="000000"/>
          <w:sz w:val="24"/>
          <w:szCs w:val="24"/>
        </w:rPr>
        <w:t xml:space="preserve"> a Critical Service Contract.</w:t>
      </w:r>
    </w:p>
    <w:p w14:paraId="1E678B3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Paragraphs 3 to 5 of this Part B shall apply if the Contract has been specified as a Critical Service Contract under Paragraph 2.1 of this Part B or the Supplier is or becomes a Public Sector Dependent Supplier.</w:t>
      </w:r>
    </w:p>
    <w:p w14:paraId="20843AB2"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Subject to Paragraphs 3.6, 3.10 and 3.11 of this Part B:</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4E3436DF"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except where it has already been provided in accordance with Paragraph 11.2(a) of this Part B,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ensure that the CRP Information provided pursuant to Paragraphs 3.2, 3.8 and 3.9 of this Part B:</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52D5790"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14:paraId="47851BF5"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14:paraId="588E6E61"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approval;</w:t>
      </w:r>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6AB2A23A"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62068B7F" w14:textId="5D4F455B"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3.2, 3.8 and 3.9 of this Part B,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approves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0226DB7" w14:textId="2A44359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3EDCB59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14:paraId="7957B2F3" w14:textId="3722CDF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An Assurance shall be deemed Valid for the purposes of Paragraph 3.6 of this Part B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2EF0C15D"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3.8(c) of this Part B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14:paraId="101D532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3.10;</w:t>
      </w:r>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the credit rating(s) of each of the Supplier and its Parent Undertakings fail to meet any of the criteria specified in Paragraph 3.10; or</w:t>
      </w:r>
    </w:p>
    <w:p w14:paraId="539C084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none of the credit rating agencies specified at Paragraph 3.10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14:paraId="4CC108C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unless not required pursuant to Paragraph 3.10.</w:t>
      </w:r>
    </w:p>
    <w:p w14:paraId="247A6621" w14:textId="58E9A604"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3.8(a) to (d) of this Part B,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3.8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or a Parent Undertaking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537797ED" w14:textId="77777777"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14:paraId="2E0C40BB" w14:textId="03927B8F"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5,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3.8.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77777777" w:rsidR="0097484D" w:rsidRDefault="006B605C"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The Buyer shall be entitled to terminate the Contract if the Supplier is required to provide CRP Information under Paragraph 3 of this Part B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Effective Date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97484D">
      <w:pPr>
        <w:pBdr>
          <w:top w:val="nil"/>
          <w:left w:val="nil"/>
          <w:bottom w:val="nil"/>
          <w:right w:val="nil"/>
          <w:between w:val="nil"/>
        </w:pBdr>
        <w:spacing w:before="120" w:after="120"/>
        <w:ind w:left="720" w:hanging="720"/>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2D071AEB"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bookmarkStart w:id="32" w:name="_heading=h.23ckvvd" w:colFirst="0" w:colLast="0"/>
      <w:bookmarkEnd w:id="32"/>
      <w:r>
        <w:rPr>
          <w:rFonts w:eastAsia="Arial"/>
          <w:color w:val="000000"/>
          <w:sz w:val="24"/>
          <w:szCs w:val="24"/>
        </w:rPr>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of this Part B and Clause 15 of the Core Terms.</w:t>
      </w:r>
    </w:p>
    <w:p w14:paraId="137FB34F" w14:textId="075FF23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3 of this Part B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is unable to procure consent pursuant to Paragraph 5.3 of this Part B, the Supplier shall use all reasonable endeavours to disclose the CRP Information to the fullest extent possible by limiting the amount of information it withholds including by:</w:t>
      </w:r>
    </w:p>
    <w:p w14:paraId="3CD2A6C7"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7854E766"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14:paraId="25D2A2E8"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14:paraId="1CC05BA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60089D41" w14:textId="77777777" w:rsidR="0097484D" w:rsidRDefault="0097484D" w:rsidP="0097484D">
      <w:pPr>
        <w:ind w:left="0"/>
        <w:rPr>
          <w:b/>
          <w:sz w:val="32"/>
          <w:szCs w:val="32"/>
        </w:rPr>
      </w:pPr>
      <w:r>
        <w:rPr>
          <w:b/>
          <w:sz w:val="32"/>
          <w:szCs w:val="32"/>
        </w:rPr>
        <w:t>Appendix 1: Group structure information and resolution commentary</w:t>
      </w:r>
    </w:p>
    <w:p w14:paraId="4585B894" w14:textId="77777777" w:rsidR="0097484D" w:rsidRDefault="0097484D" w:rsidP="0097484D">
      <w:pPr>
        <w:numPr>
          <w:ilvl w:val="0"/>
          <w:numId w:val="3"/>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3606EA2C" w14:textId="4263C93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 xml:space="preserve">provide sufficient information to allow the </w:t>
      </w:r>
      <w:r w:rsidR="00063994">
        <w:rPr>
          <w:rFonts w:eastAsia="Arial"/>
          <w:color w:val="000000"/>
          <w:sz w:val="24"/>
          <w:szCs w:val="24"/>
        </w:rPr>
        <w:t>Appropriate Authority</w:t>
      </w:r>
      <w:r>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Event;</w:t>
      </w:r>
    </w:p>
    <w:p w14:paraId="42525CBF"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6CBCDF27"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24C9DE38" w14:textId="77777777" w:rsidR="0097484D" w:rsidRDefault="0097484D" w:rsidP="0097484D">
      <w:pPr>
        <w:ind w:firstLine="1418"/>
      </w:pPr>
      <w:r>
        <w:br w:type="page"/>
      </w:r>
    </w:p>
    <w:p w14:paraId="6F5ED857" w14:textId="77777777" w:rsidR="0097484D" w:rsidRDefault="0097484D" w:rsidP="0097484D">
      <w:pPr>
        <w:ind w:left="0"/>
        <w:rPr>
          <w:b/>
          <w:sz w:val="32"/>
          <w:szCs w:val="32"/>
        </w:rPr>
      </w:pPr>
      <w:r>
        <w:rPr>
          <w:b/>
          <w:sz w:val="32"/>
          <w:szCs w:val="32"/>
        </w:rPr>
        <w:t>Appendix 2: UK Public Sector / CNI Contract Information</w:t>
      </w:r>
    </w:p>
    <w:p w14:paraId="249E852E" w14:textId="77777777" w:rsidR="0097484D" w:rsidRDefault="0097484D" w:rsidP="0097484D">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70680E0C"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Default="0097484D" w:rsidP="0097484D">
      <w:pPr>
        <w:numPr>
          <w:ilvl w:val="2"/>
          <w:numId w:val="3"/>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Default="0097484D" w:rsidP="0097484D">
      <w:pPr>
        <w:numPr>
          <w:ilvl w:val="2"/>
          <w:numId w:val="3"/>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Default="0097484D" w:rsidP="0097484D">
      <w:pPr>
        <w:numPr>
          <w:ilvl w:val="2"/>
          <w:numId w:val="3"/>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14:paraId="0BA6BC37" w14:textId="4680939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 xml:space="preserve">provide the </w:t>
      </w:r>
      <w:r w:rsidR="00063994">
        <w:rPr>
          <w:rFonts w:eastAsia="Arial"/>
          <w:color w:val="000000"/>
          <w:sz w:val="24"/>
          <w:szCs w:val="24"/>
        </w:rPr>
        <w:t>Appropriate Authority</w:t>
      </w:r>
      <w:r>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Default="0097484D" w:rsidP="0097484D">
      <w:pPr>
        <w:pBdr>
          <w:top w:val="nil"/>
          <w:left w:val="nil"/>
          <w:bottom w:val="nil"/>
          <w:right w:val="nil"/>
          <w:between w:val="nil"/>
        </w:pBdr>
        <w:spacing w:before="120" w:after="120"/>
        <w:ind w:left="0"/>
        <w:jc w:val="left"/>
        <w:rPr>
          <w:color w:val="000000"/>
          <w:sz w:val="24"/>
          <w:szCs w:val="24"/>
        </w:rPr>
      </w:pPr>
    </w:p>
    <w:p w14:paraId="000000A5" w14:textId="55BDC113" w:rsidR="00F810E0" w:rsidRPr="00681293" w:rsidRDefault="006B605C" w:rsidP="00681293">
      <w:pPr>
        <w:pBdr>
          <w:top w:val="nil"/>
          <w:left w:val="nil"/>
          <w:bottom w:val="nil"/>
          <w:right w:val="nil"/>
          <w:between w:val="nil"/>
        </w:pBdr>
        <w:spacing w:before="120" w:after="120"/>
        <w:ind w:left="0"/>
        <w:jc w:val="left"/>
        <w:rPr>
          <w:color w:val="000000"/>
          <w:sz w:val="24"/>
          <w:szCs w:val="24"/>
        </w:rPr>
      </w:pPr>
      <w:sdt>
        <w:sdtPr>
          <w:tag w:val="goog_rdk_2"/>
          <w:id w:val="2119022224"/>
        </w:sdtPr>
        <w:sdtEndPr/>
        <w:sdtContent/>
      </w:sdt>
    </w:p>
    <w:sectPr w:rsidR="00F810E0" w:rsidRPr="00681293">
      <w:headerReference w:type="default" r:id="rId12"/>
      <w:footerReference w:type="defaul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29D1E" w14:textId="77777777" w:rsidR="006B605C" w:rsidRDefault="006B605C">
      <w:pPr>
        <w:spacing w:after="0"/>
      </w:pPr>
      <w:r>
        <w:separator/>
      </w:r>
    </w:p>
  </w:endnote>
  <w:endnote w:type="continuationSeparator" w:id="0">
    <w:p w14:paraId="5C8C8CD7" w14:textId="77777777" w:rsidR="006B605C" w:rsidRDefault="006B6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063994" w:rsidRDefault="00063994">
    <w:pPr>
      <w:tabs>
        <w:tab w:val="center" w:pos="4513"/>
        <w:tab w:val="right" w:pos="9026"/>
      </w:tabs>
      <w:spacing w:after="0"/>
      <w:ind w:left="0"/>
      <w:rPr>
        <w:rFonts w:ascii="Calibri" w:eastAsia="Calibri" w:hAnsi="Calibri" w:cs="Calibri"/>
        <w:color w:val="A6A6A6"/>
      </w:rPr>
    </w:pPr>
  </w:p>
  <w:p w14:paraId="00000106" w14:textId="54F1B725"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sidR="002E2CB9">
      <w:rPr>
        <w:color w:val="000000"/>
        <w:sz w:val="20"/>
        <w:szCs w:val="20"/>
      </w:rPr>
      <w:t>6181</w:t>
    </w:r>
  </w:p>
  <w:p w14:paraId="00000107" w14:textId="442F5885"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8742B">
      <w:rPr>
        <w:noProof/>
        <w:color w:val="000000"/>
        <w:sz w:val="20"/>
        <w:szCs w:val="20"/>
      </w:rPr>
      <w:t>20</w:t>
    </w:r>
    <w:r>
      <w:rPr>
        <w:color w:val="000000"/>
        <w:sz w:val="20"/>
        <w:szCs w:val="20"/>
      </w:rPr>
      <w:fldChar w:fldCharType="end"/>
    </w:r>
  </w:p>
  <w:p w14:paraId="00000108" w14:textId="77777777" w:rsidR="00063994" w:rsidRDefault="00063994">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48BC4" w14:textId="77777777" w:rsidR="006B605C" w:rsidRDefault="006B605C">
      <w:pPr>
        <w:spacing w:after="0"/>
      </w:pPr>
      <w:r>
        <w:separator/>
      </w:r>
    </w:p>
  </w:footnote>
  <w:footnote w:type="continuationSeparator" w:id="0">
    <w:p w14:paraId="32C54DCA" w14:textId="77777777" w:rsidR="006B605C" w:rsidRDefault="006B60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77777777" w:rsidR="00063994" w:rsidRDefault="00063994">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063994" w:rsidRDefault="00063994">
    <w:pPr>
      <w:tabs>
        <w:tab w:val="center" w:pos="4513"/>
        <w:tab w:val="right" w:pos="9026"/>
      </w:tabs>
      <w:spacing w:after="0"/>
      <w:ind w:left="0"/>
      <w:jc w:val="left"/>
      <w:rPr>
        <w:sz w:val="20"/>
        <w:szCs w:val="20"/>
      </w:rPr>
    </w:pPr>
    <w:r>
      <w:rPr>
        <w:sz w:val="20"/>
        <w:szCs w:val="20"/>
      </w:rPr>
      <w:t>Call-Off Ref:</w:t>
    </w:r>
  </w:p>
  <w:p w14:paraId="00000103" w14:textId="3B704348" w:rsidR="00063994" w:rsidRDefault="00063994">
    <w:pPr>
      <w:tabs>
        <w:tab w:val="center" w:pos="4513"/>
        <w:tab w:val="right" w:pos="9026"/>
      </w:tabs>
      <w:spacing w:after="0"/>
      <w:ind w:left="0"/>
      <w:jc w:val="left"/>
      <w:rPr>
        <w:sz w:val="20"/>
        <w:szCs w:val="20"/>
      </w:rPr>
    </w:pPr>
    <w:r>
      <w:rPr>
        <w:sz w:val="20"/>
        <w:szCs w:val="20"/>
      </w:rPr>
      <w:t>Crown Copyright 20</w:t>
    </w:r>
    <w:r w:rsidR="002E2CB9">
      <w:rPr>
        <w:sz w:val="20"/>
        <w:szCs w:val="20"/>
      </w:rPr>
      <w:t>21</w:t>
    </w:r>
  </w:p>
  <w:p w14:paraId="00000104" w14:textId="77777777" w:rsidR="00063994" w:rsidRDefault="00063994">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5"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3"/>
  </w:num>
  <w:num w:numId="2">
    <w:abstractNumId w:val="4"/>
  </w:num>
  <w:num w:numId="3">
    <w:abstractNumId w:val="1"/>
  </w:num>
  <w:num w:numId="4">
    <w:abstractNumId w:val="0"/>
  </w:num>
  <w:num w:numId="5">
    <w:abstractNumId w:val="8"/>
  </w:num>
  <w:num w:numId="6">
    <w:abstractNumId w:val="7"/>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63994"/>
    <w:rsid w:val="000F6A61"/>
    <w:rsid w:val="001063A9"/>
    <w:rsid w:val="00250F51"/>
    <w:rsid w:val="002E2CB9"/>
    <w:rsid w:val="0036477C"/>
    <w:rsid w:val="004D233C"/>
    <w:rsid w:val="0058742B"/>
    <w:rsid w:val="00616460"/>
    <w:rsid w:val="00634BA0"/>
    <w:rsid w:val="00681293"/>
    <w:rsid w:val="006B605C"/>
    <w:rsid w:val="007261A6"/>
    <w:rsid w:val="007578DD"/>
    <w:rsid w:val="0083014E"/>
    <w:rsid w:val="0085360A"/>
    <w:rsid w:val="00867708"/>
    <w:rsid w:val="0097484D"/>
    <w:rsid w:val="00A12864"/>
    <w:rsid w:val="00A46EB2"/>
    <w:rsid w:val="00B15219"/>
    <w:rsid w:val="00BB4326"/>
    <w:rsid w:val="00BB5D3B"/>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Props1.xml><?xml version="1.0" encoding="utf-8"?>
<ds:datastoreItem xmlns:ds="http://schemas.openxmlformats.org/officeDocument/2006/customXml" ds:itemID="{0E7508AE-E54F-4AC0-B5FE-C3E3D67FF7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A97010-CC87-41AE-8AE2-D6DA87EAC28F}">
  <ds:schemaRefs>
    <ds:schemaRef ds:uri="http://schemas.openxmlformats.org/officeDocument/2006/bibliography"/>
  </ds:schemaRefs>
</ds:datastoreItem>
</file>

<file path=customXml/itemProps3.xml><?xml version="1.0" encoding="utf-8"?>
<ds:datastoreItem xmlns:ds="http://schemas.openxmlformats.org/officeDocument/2006/customXml" ds:itemID="{4F350C83-7235-4067-A40F-3815A4B01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197A5F-A4AE-426A-A280-9D4FACA21764}">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58901</vt:lpwstr>
  </property>
  <property fmtid="{D5CDD505-2E9C-101B-9397-08002B2CF9AE}" pid="4" name="OptimizationTime">
    <vt:lpwstr>20220804_1055</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1</Pages>
  <Words>5802</Words>
  <Characters>33074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Richard Wood</cp:lastModifiedBy>
  <cp:revision>3</cp:revision>
  <dcterms:created xsi:type="dcterms:W3CDTF">2021-04-12T14:50:00Z</dcterms:created>
  <dcterms:modified xsi:type="dcterms:W3CDTF">2022-08-01T20:23:00Z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0x01010081A882439F723E499D591D7C01441CD7</vt:lpwstr>
  </property>
</Properties>
</file>